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24E" w:rsidRPr="003563D1" w:rsidRDefault="007C624E" w:rsidP="003563D1">
      <w:pPr>
        <w:spacing w:before="60" w:after="0" w:line="240" w:lineRule="auto"/>
        <w:jc w:val="center"/>
        <w:rPr>
          <w:rFonts w:ascii="TH SarabunPSK" w:eastAsia="Calibri" w:hAnsi="TH SarabunPSK" w:cs="TH SarabunPSK" w:hint="cs"/>
          <w:b/>
          <w:bCs/>
          <w:sz w:val="40"/>
          <w:szCs w:val="40"/>
          <w:u w:val="single"/>
        </w:rPr>
      </w:pPr>
      <w:r w:rsidRPr="003563D1">
        <w:rPr>
          <w:rFonts w:ascii="TH SarabunPSK" w:eastAsia="Calibri" w:hAnsi="TH SarabunPSK" w:cs="TH SarabunPSK"/>
          <w:b/>
          <w:bCs/>
          <w:sz w:val="40"/>
          <w:szCs w:val="40"/>
          <w:u w:val="single"/>
          <w:cs/>
        </w:rPr>
        <w:t>อภิธานศัพท์</w:t>
      </w:r>
    </w:p>
    <w:p w:rsidR="003563D1" w:rsidRDefault="003563D1" w:rsidP="003563D1">
      <w:pPr>
        <w:spacing w:before="60" w:after="0" w:line="240" w:lineRule="auto"/>
        <w:jc w:val="center"/>
        <w:rPr>
          <w:rFonts w:ascii="TH SarabunPSK" w:eastAsia="Calibri" w:hAnsi="TH SarabunPSK" w:cs="TH SarabunPSK" w:hint="cs"/>
          <w:b/>
          <w:bCs/>
          <w:sz w:val="40"/>
          <w:szCs w:val="40"/>
          <w:u w:val="single"/>
        </w:rPr>
      </w:pPr>
      <w:r w:rsidRPr="003563D1">
        <w:rPr>
          <w:rFonts w:ascii="TH SarabunPSK" w:eastAsia="Calibri" w:hAnsi="TH SarabunPSK" w:cs="TH SarabunPSK" w:hint="cs"/>
          <w:b/>
          <w:bCs/>
          <w:sz w:val="40"/>
          <w:szCs w:val="40"/>
          <w:u w:val="single"/>
          <w:cs/>
        </w:rPr>
        <w:t xml:space="preserve">การนำมาตรฐานตอนที่ </w:t>
      </w:r>
      <w:r w:rsidRPr="003563D1">
        <w:rPr>
          <w:rFonts w:ascii="TH SarabunPSK" w:eastAsia="Calibri" w:hAnsi="TH SarabunPSK" w:cs="TH SarabunPSK"/>
          <w:b/>
          <w:bCs/>
          <w:sz w:val="40"/>
          <w:szCs w:val="40"/>
          <w:u w:val="single"/>
        </w:rPr>
        <w:t xml:space="preserve">II </w:t>
      </w:r>
      <w:r w:rsidRPr="003563D1">
        <w:rPr>
          <w:rFonts w:ascii="TH SarabunPSK" w:eastAsia="Calibri" w:hAnsi="TH SarabunPSK" w:cs="TH SarabunPSK" w:hint="cs"/>
          <w:b/>
          <w:bCs/>
          <w:sz w:val="40"/>
          <w:szCs w:val="40"/>
          <w:u w:val="single"/>
          <w:cs/>
        </w:rPr>
        <w:t>สู่การปฏิบัติ</w:t>
      </w:r>
    </w:p>
    <w:p w:rsidR="003563D1" w:rsidRPr="003563D1" w:rsidRDefault="003563D1" w:rsidP="003563D1">
      <w:pPr>
        <w:spacing w:before="60" w:after="0" w:line="240" w:lineRule="auto"/>
        <w:jc w:val="center"/>
        <w:rPr>
          <w:rFonts w:ascii="TH SarabunPSK" w:eastAsia="Calibri" w:hAnsi="TH SarabunPSK" w:cs="TH SarabunPSK" w:hint="cs"/>
          <w:b/>
          <w:bCs/>
          <w:sz w:val="32"/>
          <w:szCs w:val="32"/>
          <w:u w:val="single"/>
          <w:cs/>
        </w:rPr>
      </w:pPr>
    </w:p>
    <w:tbl>
      <w:tblPr>
        <w:tblStyle w:val="TableGrid"/>
        <w:tblW w:w="0" w:type="auto"/>
        <w:tblLook w:val="04A0" w:firstRow="1" w:lastRow="0" w:firstColumn="1" w:lastColumn="0" w:noHBand="0" w:noVBand="1"/>
      </w:tblPr>
      <w:tblGrid>
        <w:gridCol w:w="2518"/>
        <w:gridCol w:w="6724"/>
      </w:tblGrid>
      <w:tr w:rsidR="00AB5365" w:rsidTr="00AB5365">
        <w:tc>
          <w:tcPr>
            <w:tcW w:w="2518" w:type="dxa"/>
          </w:tcPr>
          <w:p w:rsidR="00AB5365" w:rsidRDefault="00AB5365" w:rsidP="007C624E">
            <w:pPr>
              <w:rPr>
                <w:rFonts w:ascii="TH SarabunPSK" w:hAnsi="TH SarabunPSK" w:cs="TH SarabunPSK"/>
                <w:sz w:val="32"/>
                <w:szCs w:val="32"/>
              </w:rPr>
            </w:pPr>
            <w:r w:rsidRPr="002C2926">
              <w:rPr>
                <w:rFonts w:ascii="TH SarabunPSK" w:hAnsi="TH SarabunPSK" w:cs="TH SarabunPSK"/>
                <w:sz w:val="32"/>
                <w:szCs w:val="32"/>
              </w:rPr>
              <w:t>Visual  Control</w:t>
            </w:r>
          </w:p>
        </w:tc>
        <w:tc>
          <w:tcPr>
            <w:tcW w:w="6724" w:type="dxa"/>
          </w:tcPr>
          <w:p w:rsidR="00AB5365" w:rsidRDefault="00AB5365" w:rsidP="007C624E">
            <w:pPr>
              <w:rPr>
                <w:rFonts w:ascii="TH SarabunPSK" w:hAnsi="TH SarabunPSK" w:cs="TH SarabunPSK"/>
                <w:sz w:val="32"/>
                <w:szCs w:val="32"/>
              </w:rPr>
            </w:pPr>
            <w:r w:rsidRPr="002C2926">
              <w:rPr>
                <w:rFonts w:ascii="TH SarabunPSK" w:hAnsi="TH SarabunPSK" w:cs="TH SarabunPSK"/>
                <w:sz w:val="32"/>
                <w:szCs w:val="32"/>
                <w:cs/>
              </w:rPr>
              <w:t>การควบคุมด้วยการมองเห็น  เป็นระบบการควบคุมการทำงานให้พนักงานทุกคนสามารถเข้าใจขั้นตอนการทำงาน  เป้าหมาย  ผลลัพธ์การทำงานได้ง่ายและชัดเจน  รวมถึงเห็นการผิดปกติต่างๆ  และแก้ไขได้อย่างรวดเร็ว  โดยใช้บอร์ด  ป้าย  สัญลักษณ์สีและอื่นๆ  เพื่อสื่อสารให้พนักงานทราบถึงข้อมูลข่าวสารที่สำคัญของสถานที่ทำงาน</w:t>
            </w:r>
          </w:p>
        </w:tc>
      </w:tr>
      <w:tr w:rsidR="00AB5365" w:rsidTr="00AB5365">
        <w:tc>
          <w:tcPr>
            <w:tcW w:w="2518" w:type="dxa"/>
          </w:tcPr>
          <w:p w:rsidR="00AB5365" w:rsidRDefault="00AB5365" w:rsidP="007C624E">
            <w:pPr>
              <w:rPr>
                <w:rFonts w:ascii="TH SarabunPSK" w:hAnsi="TH SarabunPSK" w:cs="TH SarabunPSK"/>
                <w:sz w:val="32"/>
                <w:szCs w:val="32"/>
              </w:rPr>
            </w:pPr>
            <w:r w:rsidRPr="002C2926">
              <w:rPr>
                <w:rFonts w:ascii="TH SarabunPSK" w:hAnsi="TH SarabunPSK" w:cs="TH SarabunPSK"/>
                <w:sz w:val="32"/>
                <w:szCs w:val="32"/>
              </w:rPr>
              <w:t>Human Factor Engineering</w:t>
            </w:r>
          </w:p>
        </w:tc>
        <w:tc>
          <w:tcPr>
            <w:tcW w:w="6724" w:type="dxa"/>
          </w:tcPr>
          <w:p w:rsidR="00AB5365" w:rsidRDefault="00AB5365" w:rsidP="007C624E">
            <w:pPr>
              <w:rPr>
                <w:rFonts w:ascii="TH SarabunPSK" w:hAnsi="TH SarabunPSK" w:cs="TH SarabunPSK"/>
                <w:sz w:val="32"/>
                <w:szCs w:val="32"/>
              </w:rPr>
            </w:pPr>
            <w:r w:rsidRPr="002C2926">
              <w:rPr>
                <w:rFonts w:ascii="TH SarabunPSK" w:hAnsi="TH SarabunPSK" w:cs="TH SarabunPSK"/>
                <w:sz w:val="32"/>
                <w:szCs w:val="32"/>
                <w:cs/>
              </w:rPr>
              <w:t>การศึกษาทำความเข้าใจลักษณะของมนุษย์ วิธีการที่มนุษย์มีปฏิสัมพันธ์กับโลกรอบตัว เพื่อประยุกต์ใช้การออกแบบระบบที่ปลอดภัย มีประสิทธิภาพ สะดวกสบาย</w:t>
            </w:r>
          </w:p>
        </w:tc>
      </w:tr>
      <w:tr w:rsidR="00AB5365" w:rsidTr="00AB5365">
        <w:tc>
          <w:tcPr>
            <w:tcW w:w="2518" w:type="dxa"/>
          </w:tcPr>
          <w:p w:rsidR="00AB5365" w:rsidRDefault="00AB5365" w:rsidP="007C624E">
            <w:pPr>
              <w:rPr>
                <w:rFonts w:ascii="TH SarabunPSK" w:hAnsi="TH SarabunPSK" w:cs="TH SarabunPSK"/>
                <w:sz w:val="32"/>
                <w:szCs w:val="32"/>
              </w:rPr>
            </w:pPr>
            <w:r w:rsidRPr="002C2926">
              <w:rPr>
                <w:rFonts w:ascii="TH SarabunPSK" w:hAnsi="TH SarabunPSK" w:cs="TH SarabunPSK"/>
                <w:sz w:val="32"/>
                <w:szCs w:val="32"/>
              </w:rPr>
              <w:t>Human-centered design</w:t>
            </w:r>
          </w:p>
        </w:tc>
        <w:tc>
          <w:tcPr>
            <w:tcW w:w="6724" w:type="dxa"/>
          </w:tcPr>
          <w:p w:rsidR="00AB5365" w:rsidRDefault="00AB5365" w:rsidP="007C624E">
            <w:pPr>
              <w:rPr>
                <w:rFonts w:ascii="TH SarabunPSK" w:hAnsi="TH SarabunPSK" w:cs="TH SarabunPSK"/>
                <w:sz w:val="32"/>
                <w:szCs w:val="32"/>
              </w:rPr>
            </w:pPr>
            <w:r w:rsidRPr="002C2926">
              <w:rPr>
                <w:rFonts w:ascii="TH SarabunPSK" w:hAnsi="TH SarabunPSK" w:cs="TH SarabunPSK"/>
                <w:sz w:val="32"/>
                <w:szCs w:val="32"/>
                <w:cs/>
              </w:rPr>
              <w:t>กระบวนการคิดที่ใช้การทำความเข้าใจในปัญหาต่างๆ อย่างลึกซึ้ง โดยเอาผู้ใช้เป็นศูนย์กลาง และนำเอาความคิดสร้างสรรค์และมุมมองจากคนหลายๆ สายมาสร้างไอเดีย แนวทางการแก้ไข และนำเอาแนวทางต่างๆ มาทดสอบและพัฒนา เพื่อให้ได้แนวทางหรือนวัตกรรมที่ตอบโจทย์กับผู้ใช้และสถานการณ์นั้นๆ</w:t>
            </w:r>
          </w:p>
        </w:tc>
      </w:tr>
      <w:tr w:rsidR="00AB5365" w:rsidTr="00AB5365">
        <w:tc>
          <w:tcPr>
            <w:tcW w:w="2518" w:type="dxa"/>
          </w:tcPr>
          <w:p w:rsidR="00AB5365" w:rsidRDefault="00AB5365" w:rsidP="007C624E">
            <w:pPr>
              <w:rPr>
                <w:rFonts w:ascii="TH SarabunPSK" w:hAnsi="TH SarabunPSK" w:cs="TH SarabunPSK"/>
                <w:sz w:val="32"/>
                <w:szCs w:val="32"/>
              </w:rPr>
            </w:pPr>
            <w:r w:rsidRPr="002C2926">
              <w:rPr>
                <w:rFonts w:ascii="TH SarabunPSK" w:hAnsi="TH SarabunPSK" w:cs="TH SarabunPSK"/>
                <w:sz w:val="32"/>
                <w:szCs w:val="32"/>
              </w:rPr>
              <w:t>Tacit Knowledge</w:t>
            </w:r>
          </w:p>
        </w:tc>
        <w:tc>
          <w:tcPr>
            <w:tcW w:w="6724" w:type="dxa"/>
          </w:tcPr>
          <w:p w:rsidR="00AB5365" w:rsidRDefault="00AB5365" w:rsidP="007C624E">
            <w:pPr>
              <w:rPr>
                <w:rFonts w:ascii="TH SarabunPSK" w:hAnsi="TH SarabunPSK" w:cs="TH SarabunPSK"/>
                <w:sz w:val="32"/>
                <w:szCs w:val="32"/>
              </w:rPr>
            </w:pPr>
            <w:r w:rsidRPr="002C2926">
              <w:rPr>
                <w:rFonts w:ascii="TH SarabunPSK" w:hAnsi="TH SarabunPSK" w:cs="TH SarabunPSK"/>
                <w:sz w:val="32"/>
                <w:szCs w:val="32"/>
                <w:cs/>
              </w:rPr>
              <w:t>ความรู้ที่ฝังลึกอยู่ในตัวคน เป็นสิ่งที่เห็นไม่ชัด เป็น ความรู้ที่เกิดจากการฝึกฝน การปฏิบัติงานจนเกิดทักษะและ กลายเป็นความชำนาญ เชี่ยวชาญ จึงเป็นประสบการณ์ติดตัวของแต่ละบุคคล เป็นความรู้ที่เกิดจากวิจารณญาณ ปฏิภาณไหวพริบ เป็นเทคนิคเฉพาะตัวบุคคล</w:t>
            </w:r>
          </w:p>
        </w:tc>
      </w:tr>
      <w:tr w:rsidR="00AB5365" w:rsidTr="00AB5365">
        <w:tc>
          <w:tcPr>
            <w:tcW w:w="2518" w:type="dxa"/>
          </w:tcPr>
          <w:p w:rsidR="00AB5365" w:rsidRDefault="00AB5365" w:rsidP="007C624E">
            <w:pPr>
              <w:rPr>
                <w:rFonts w:ascii="TH SarabunPSK" w:hAnsi="TH SarabunPSK" w:cs="TH SarabunPSK"/>
                <w:sz w:val="32"/>
                <w:szCs w:val="32"/>
              </w:rPr>
            </w:pPr>
            <w:r w:rsidRPr="002C2926">
              <w:rPr>
                <w:rFonts w:ascii="TH SarabunPSK" w:hAnsi="TH SarabunPSK" w:cs="TH SarabunPSK"/>
                <w:sz w:val="32"/>
                <w:szCs w:val="32"/>
              </w:rPr>
              <w:t>Non-technical skill</w:t>
            </w:r>
          </w:p>
        </w:tc>
        <w:tc>
          <w:tcPr>
            <w:tcW w:w="6724" w:type="dxa"/>
          </w:tcPr>
          <w:p w:rsidR="00AB5365" w:rsidRDefault="00AB5365" w:rsidP="007C624E">
            <w:pPr>
              <w:rPr>
                <w:rFonts w:ascii="TH SarabunPSK" w:hAnsi="TH SarabunPSK" w:cs="TH SarabunPSK"/>
                <w:sz w:val="32"/>
                <w:szCs w:val="32"/>
              </w:rPr>
            </w:pPr>
            <w:r w:rsidRPr="002C2926">
              <w:rPr>
                <w:rFonts w:ascii="TH SarabunPSK" w:hAnsi="TH SarabunPSK" w:cs="TH SarabunPSK"/>
                <w:sz w:val="32"/>
                <w:szCs w:val="32"/>
                <w:cs/>
              </w:rPr>
              <w:t xml:space="preserve">ทักษะรอบด้านของบุคคลซึ่งประกอบด้วย กระบวนการคิด การสื่อสาร และทักษะทางสังคม ที่ใช้ร่วมกับ </w:t>
            </w:r>
            <w:r w:rsidRPr="002C2926">
              <w:rPr>
                <w:rFonts w:ascii="TH SarabunPSK" w:hAnsi="TH SarabunPSK" w:cs="TH SarabunPSK"/>
                <w:sz w:val="32"/>
                <w:szCs w:val="32"/>
              </w:rPr>
              <w:t xml:space="preserve">technical skill </w:t>
            </w:r>
            <w:r w:rsidRPr="002C2926">
              <w:rPr>
                <w:rFonts w:ascii="TH SarabunPSK" w:hAnsi="TH SarabunPSK" w:cs="TH SarabunPSK"/>
                <w:sz w:val="32"/>
                <w:szCs w:val="32"/>
                <w:cs/>
              </w:rPr>
              <w:t>เพื่อให้เกิดความปลอดภัยและเกิดประโยชน์สูงสุด เมื่อทำภาระกิจใดภาระกิจหนึ่ง</w:t>
            </w:r>
          </w:p>
        </w:tc>
      </w:tr>
      <w:tr w:rsidR="00AB5365" w:rsidTr="00AB5365">
        <w:tc>
          <w:tcPr>
            <w:tcW w:w="2518" w:type="dxa"/>
          </w:tcPr>
          <w:p w:rsidR="00AB5365" w:rsidRPr="002C2926" w:rsidRDefault="00AB5365" w:rsidP="007C624E">
            <w:pPr>
              <w:rPr>
                <w:rFonts w:ascii="TH SarabunPSK" w:hAnsi="TH SarabunPSK" w:cs="TH SarabunPSK"/>
                <w:sz w:val="32"/>
                <w:szCs w:val="32"/>
              </w:rPr>
            </w:pPr>
            <w:r w:rsidRPr="002C2926">
              <w:rPr>
                <w:rFonts w:ascii="TH SarabunPSK" w:hAnsi="TH SarabunPSK" w:cs="TH SarabunPSK"/>
                <w:sz w:val="32"/>
                <w:szCs w:val="32"/>
              </w:rPr>
              <w:t>Patient journey mapping</w:t>
            </w:r>
          </w:p>
        </w:tc>
        <w:tc>
          <w:tcPr>
            <w:tcW w:w="6724" w:type="dxa"/>
          </w:tcPr>
          <w:p w:rsidR="00AB5365" w:rsidRPr="002C2926" w:rsidRDefault="00AB5365" w:rsidP="00AB5365">
            <w:pPr>
              <w:rPr>
                <w:rFonts w:ascii="TH SarabunPSK" w:hAnsi="TH SarabunPSK" w:cs="TH SarabunPSK"/>
                <w:sz w:val="32"/>
                <w:szCs w:val="32"/>
              </w:rPr>
            </w:pPr>
            <w:proofErr w:type="gramStart"/>
            <w:r w:rsidRPr="002C2926">
              <w:rPr>
                <w:rFonts w:ascii="TH SarabunPSK" w:hAnsi="TH SarabunPSK" w:cs="TH SarabunPSK"/>
                <w:sz w:val="32"/>
                <w:szCs w:val="32"/>
              </w:rPr>
              <w:t>use</w:t>
            </w:r>
            <w:proofErr w:type="gramEnd"/>
            <w:r w:rsidRPr="002C2926">
              <w:rPr>
                <w:rFonts w:ascii="TH SarabunPSK" w:hAnsi="TH SarabunPSK" w:cs="TH SarabunPSK"/>
                <w:sz w:val="32"/>
                <w:szCs w:val="32"/>
              </w:rPr>
              <w:t xml:space="preserve"> to better understand what individuals experience throughout the entire patient journey. The patient journey map, which outlines all of the patient touch points during each stage of the care journey, aids in creating strategic outreach that improves both patient engagement and satisfaction. The patient journey typically consists of six stages:</w:t>
            </w:r>
          </w:p>
          <w:p w:rsidR="00AB5365" w:rsidRPr="002C2926" w:rsidRDefault="00AB5365" w:rsidP="00AB5365">
            <w:pPr>
              <w:rPr>
                <w:rFonts w:ascii="TH SarabunPSK" w:hAnsi="TH SarabunPSK" w:cs="TH SarabunPSK"/>
                <w:sz w:val="32"/>
                <w:szCs w:val="32"/>
              </w:rPr>
            </w:pPr>
            <w:proofErr w:type="gramStart"/>
            <w:r w:rsidRPr="002C2926">
              <w:rPr>
                <w:rFonts w:ascii="TH SarabunPSK" w:hAnsi="TH SarabunPSK" w:cs="TH SarabunPSK"/>
                <w:sz w:val="32"/>
                <w:szCs w:val="32"/>
              </w:rPr>
              <w:t>1.Awareness</w:t>
            </w:r>
            <w:proofErr w:type="gramEnd"/>
            <w:r w:rsidRPr="002C2926">
              <w:rPr>
                <w:rFonts w:ascii="TH SarabunPSK" w:hAnsi="TH SarabunPSK" w:cs="TH SarabunPSK"/>
                <w:sz w:val="32"/>
                <w:szCs w:val="32"/>
              </w:rPr>
              <w:t>: The patient self-assesses their conditions and symptoms, conducts research, and reaches out to online communities (posing questions on social media, etc.)</w:t>
            </w:r>
          </w:p>
          <w:p w:rsidR="00AB5365" w:rsidRPr="002C2926" w:rsidRDefault="00AB5365" w:rsidP="00AB5365">
            <w:pPr>
              <w:rPr>
                <w:rFonts w:ascii="TH SarabunPSK" w:hAnsi="TH SarabunPSK" w:cs="TH SarabunPSK"/>
                <w:sz w:val="32"/>
                <w:szCs w:val="32"/>
              </w:rPr>
            </w:pPr>
            <w:proofErr w:type="gramStart"/>
            <w:r w:rsidRPr="002C2926">
              <w:rPr>
                <w:rFonts w:ascii="TH SarabunPSK" w:hAnsi="TH SarabunPSK" w:cs="TH SarabunPSK"/>
                <w:sz w:val="32"/>
                <w:szCs w:val="32"/>
              </w:rPr>
              <w:t>2.Help</w:t>
            </w:r>
            <w:proofErr w:type="gramEnd"/>
            <w:r w:rsidRPr="002C2926">
              <w:rPr>
                <w:rFonts w:ascii="TH SarabunPSK" w:hAnsi="TH SarabunPSK" w:cs="TH SarabunPSK"/>
                <w:sz w:val="32"/>
                <w:szCs w:val="32"/>
              </w:rPr>
              <w:t>: The patient makes initial contact with a health system. This can be done via call center, email, mobile, etc.</w:t>
            </w:r>
          </w:p>
          <w:p w:rsidR="00AB5365" w:rsidRPr="002C2926" w:rsidRDefault="00AB5365" w:rsidP="00AB5365">
            <w:pPr>
              <w:rPr>
                <w:rFonts w:ascii="TH SarabunPSK" w:hAnsi="TH SarabunPSK" w:cs="TH SarabunPSK"/>
                <w:sz w:val="32"/>
                <w:szCs w:val="32"/>
              </w:rPr>
            </w:pPr>
            <w:proofErr w:type="gramStart"/>
            <w:r w:rsidRPr="002C2926">
              <w:rPr>
                <w:rFonts w:ascii="TH SarabunPSK" w:hAnsi="TH SarabunPSK" w:cs="TH SarabunPSK"/>
                <w:sz w:val="32"/>
                <w:szCs w:val="32"/>
              </w:rPr>
              <w:t>3.Care</w:t>
            </w:r>
            <w:proofErr w:type="gramEnd"/>
            <w:r w:rsidRPr="002C2926">
              <w:rPr>
                <w:rFonts w:ascii="TH SarabunPSK" w:hAnsi="TH SarabunPSK" w:cs="TH SarabunPSK"/>
                <w:sz w:val="32"/>
                <w:szCs w:val="32"/>
              </w:rPr>
              <w:t xml:space="preserve">: The patient is assessed at medical facility (physician’s </w:t>
            </w:r>
            <w:r w:rsidRPr="002C2926">
              <w:rPr>
                <w:rFonts w:ascii="TH SarabunPSK" w:hAnsi="TH SarabunPSK" w:cs="TH SarabunPSK"/>
                <w:sz w:val="32"/>
                <w:szCs w:val="32"/>
              </w:rPr>
              <w:lastRenderedPageBreak/>
              <w:t>office, hospital, etc.)</w:t>
            </w:r>
          </w:p>
          <w:p w:rsidR="00AB5365" w:rsidRPr="002C2926" w:rsidRDefault="00AB5365" w:rsidP="00AB5365">
            <w:pPr>
              <w:rPr>
                <w:rFonts w:ascii="TH SarabunPSK" w:hAnsi="TH SarabunPSK" w:cs="TH SarabunPSK"/>
                <w:sz w:val="32"/>
                <w:szCs w:val="32"/>
              </w:rPr>
            </w:pPr>
            <w:proofErr w:type="gramStart"/>
            <w:r w:rsidRPr="002C2926">
              <w:rPr>
                <w:rFonts w:ascii="TH SarabunPSK" w:hAnsi="TH SarabunPSK" w:cs="TH SarabunPSK"/>
                <w:sz w:val="32"/>
                <w:szCs w:val="32"/>
              </w:rPr>
              <w:t>4.Treatment</w:t>
            </w:r>
            <w:proofErr w:type="gramEnd"/>
            <w:r w:rsidRPr="002C2926">
              <w:rPr>
                <w:rFonts w:ascii="TH SarabunPSK" w:hAnsi="TH SarabunPSK" w:cs="TH SarabunPSK"/>
                <w:sz w:val="32"/>
                <w:szCs w:val="32"/>
              </w:rPr>
              <w:t>: The health system gives the patient on-site and follow-up care (medications, physical therapy, etc.)</w:t>
            </w:r>
          </w:p>
          <w:p w:rsidR="00AB5365" w:rsidRPr="002C2926" w:rsidRDefault="00AB5365" w:rsidP="00AB5365">
            <w:pPr>
              <w:rPr>
                <w:rFonts w:ascii="TH SarabunPSK" w:hAnsi="TH SarabunPSK" w:cs="TH SarabunPSK"/>
                <w:sz w:val="32"/>
                <w:szCs w:val="32"/>
              </w:rPr>
            </w:pPr>
            <w:r w:rsidRPr="002C2926">
              <w:rPr>
                <w:rFonts w:ascii="TH SarabunPSK" w:hAnsi="TH SarabunPSK" w:cs="TH SarabunPSK"/>
                <w:sz w:val="32"/>
                <w:szCs w:val="32"/>
              </w:rPr>
              <w:t>5.Behavioral/Lifestyle Change: The patient makes changes to their routines to reduce readmissions and promote proactive health</w:t>
            </w:r>
          </w:p>
          <w:p w:rsidR="00AB5365" w:rsidRPr="002C2926" w:rsidRDefault="00AB5365" w:rsidP="00AB5365">
            <w:pPr>
              <w:rPr>
                <w:rFonts w:ascii="TH SarabunPSK" w:hAnsi="TH SarabunPSK" w:cs="TH SarabunPSK"/>
                <w:sz w:val="32"/>
                <w:szCs w:val="32"/>
                <w:cs/>
              </w:rPr>
            </w:pPr>
            <w:proofErr w:type="gramStart"/>
            <w:r w:rsidRPr="002C2926">
              <w:rPr>
                <w:rFonts w:ascii="TH SarabunPSK" w:hAnsi="TH SarabunPSK" w:cs="TH SarabunPSK"/>
                <w:sz w:val="32"/>
                <w:szCs w:val="32"/>
              </w:rPr>
              <w:t>6.Ongoing</w:t>
            </w:r>
            <w:proofErr w:type="gramEnd"/>
            <w:r w:rsidRPr="002C2926">
              <w:rPr>
                <w:rFonts w:ascii="TH SarabunPSK" w:hAnsi="TH SarabunPSK" w:cs="TH SarabunPSK"/>
                <w:sz w:val="32"/>
                <w:szCs w:val="32"/>
              </w:rPr>
              <w:t xml:space="preserve"> Care/Proactive Health: The patient manages their care between clinical visits. The health system fosters engagement between the patient &amp; physicians to enable the patient to better manage his/her own care.</w:t>
            </w:r>
          </w:p>
        </w:tc>
      </w:tr>
      <w:tr w:rsidR="00AB5365" w:rsidTr="00AB5365">
        <w:tc>
          <w:tcPr>
            <w:tcW w:w="2518" w:type="dxa"/>
          </w:tcPr>
          <w:p w:rsidR="00AB5365" w:rsidRPr="002C2926" w:rsidRDefault="00AB5365" w:rsidP="007C624E">
            <w:pPr>
              <w:rPr>
                <w:rFonts w:ascii="TH SarabunPSK" w:hAnsi="TH SarabunPSK" w:cs="TH SarabunPSK"/>
                <w:sz w:val="32"/>
                <w:szCs w:val="32"/>
              </w:rPr>
            </w:pPr>
            <w:r w:rsidRPr="002C2926">
              <w:rPr>
                <w:rFonts w:ascii="TH SarabunPSK" w:hAnsi="TH SarabunPSK" w:cs="TH SarabunPSK"/>
                <w:sz w:val="32"/>
                <w:szCs w:val="32"/>
              </w:rPr>
              <w:lastRenderedPageBreak/>
              <w:t>Patient Shadowing</w:t>
            </w:r>
          </w:p>
        </w:tc>
        <w:tc>
          <w:tcPr>
            <w:tcW w:w="6724" w:type="dxa"/>
          </w:tcPr>
          <w:p w:rsidR="00AB5365" w:rsidRPr="002C2926" w:rsidRDefault="00D742DA" w:rsidP="00AB5365">
            <w:pPr>
              <w:rPr>
                <w:rFonts w:ascii="TH SarabunPSK" w:hAnsi="TH SarabunPSK" w:cs="TH SarabunPSK"/>
                <w:sz w:val="32"/>
                <w:szCs w:val="32"/>
              </w:rPr>
            </w:pPr>
            <w:r w:rsidRPr="002C2926">
              <w:rPr>
                <w:rFonts w:ascii="TH SarabunPSK" w:hAnsi="TH SarabunPSK" w:cs="TH SarabunPSK"/>
                <w:sz w:val="32"/>
                <w:szCs w:val="32"/>
              </w:rPr>
              <w:t>Involves</w:t>
            </w:r>
            <w:r w:rsidR="00AB5365" w:rsidRPr="002C2926">
              <w:rPr>
                <w:rFonts w:ascii="TH SarabunPSK" w:hAnsi="TH SarabunPSK" w:cs="TH SarabunPSK"/>
                <w:sz w:val="32"/>
                <w:szCs w:val="32"/>
              </w:rPr>
              <w:t xml:space="preserve"> witnessing everything the patient experiences, observing and recording each step of the process, and then seeking feedback from the patient at each point.</w:t>
            </w:r>
          </w:p>
        </w:tc>
      </w:tr>
    </w:tbl>
    <w:p w:rsidR="005211EB" w:rsidRPr="002C2926" w:rsidRDefault="007C624E" w:rsidP="00AB5365">
      <w:pPr>
        <w:rPr>
          <w:rFonts w:ascii="TH SarabunPSK" w:hAnsi="TH SarabunPSK" w:cs="TH SarabunPSK"/>
          <w:sz w:val="32"/>
          <w:szCs w:val="32"/>
        </w:rPr>
      </w:pPr>
      <w:r w:rsidRPr="002C2926">
        <w:rPr>
          <w:rFonts w:ascii="TH SarabunPSK" w:hAnsi="TH SarabunPSK" w:cs="TH SarabunPSK"/>
          <w:sz w:val="32"/>
          <w:szCs w:val="32"/>
        </w:rPr>
        <w:t xml:space="preserve"> </w:t>
      </w:r>
      <w:bookmarkStart w:id="0" w:name="_GoBack"/>
      <w:bookmarkEnd w:id="0"/>
    </w:p>
    <w:sectPr w:rsidR="005211EB" w:rsidRPr="002C2926" w:rsidSect="003563D1">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4E"/>
    <w:rsid w:val="000F1912"/>
    <w:rsid w:val="002C2926"/>
    <w:rsid w:val="003563D1"/>
    <w:rsid w:val="005211EB"/>
    <w:rsid w:val="007C624E"/>
    <w:rsid w:val="00A80AFB"/>
    <w:rsid w:val="00AB5365"/>
    <w:rsid w:val="00C77E43"/>
    <w:rsid w:val="00D742D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Charn</dc:creator>
  <cp:lastModifiedBy>Jittra Kesphanich</cp:lastModifiedBy>
  <cp:revision>2</cp:revision>
  <cp:lastPrinted>2019-04-10T04:20:00Z</cp:lastPrinted>
  <dcterms:created xsi:type="dcterms:W3CDTF">2019-04-10T04:37:00Z</dcterms:created>
  <dcterms:modified xsi:type="dcterms:W3CDTF">2019-04-10T04:37:00Z</dcterms:modified>
</cp:coreProperties>
</file>